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Default="003113E1" w:rsidP="006273F1">
      <w:pPr>
        <w:jc w:val="center"/>
        <w:rPr>
          <w:b/>
        </w:rPr>
      </w:pPr>
      <w:r>
        <w:rPr>
          <w:b/>
        </w:rPr>
        <w:t xml:space="preserve"> САМОДИАГНОСТИКА</w:t>
      </w:r>
    </w:p>
    <w:p w:rsidR="003113E1" w:rsidRPr="003113E1" w:rsidRDefault="003113E1" w:rsidP="006273F1">
      <w:pPr>
        <w:jc w:val="center"/>
        <w:rPr>
          <w:b/>
          <w:lang w:val="en-US"/>
        </w:rPr>
      </w:pPr>
      <w:r>
        <w:rPr>
          <w:b/>
          <w:lang w:val="en-US"/>
        </w:rPr>
        <w:t>s</w:t>
      </w:r>
      <w:bookmarkStart w:id="0" w:name="_GoBack"/>
      <w:bookmarkEnd w:id="0"/>
      <w:r>
        <w:rPr>
          <w:b/>
          <w:lang w:val="en-US"/>
        </w:rPr>
        <w:t>ch703183</w:t>
      </w:r>
    </w:p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Default="000232DD" w:rsidP="00C7493E">
            <w:pPr>
              <w:pStyle w:val="Default"/>
              <w:jc w:val="both"/>
            </w:pPr>
            <w:r>
              <w:t>пополнить библиотечный фонд</w:t>
            </w:r>
          </w:p>
          <w:p w:rsidR="000232DD" w:rsidRPr="006273F1" w:rsidRDefault="003113E1" w:rsidP="00C7493E">
            <w:pPr>
              <w:pStyle w:val="Default"/>
              <w:jc w:val="both"/>
            </w:pPr>
            <w:r>
              <w:t xml:space="preserve">обновление </w:t>
            </w:r>
            <w:r w:rsidR="000232DD">
              <w:t xml:space="preserve"> оборудования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000B89" w:rsidRDefault="00000B89" w:rsidP="00000B89">
            <w:pPr>
              <w:pStyle w:val="Default"/>
              <w:jc w:val="both"/>
            </w:pPr>
            <w:r w:rsidRPr="00000B89">
              <w:t>участие МБОУ</w:t>
            </w:r>
            <w:r w:rsidRPr="00000B89">
              <w:t xml:space="preserve"> в решении проблем с дефицитом педагогических кадров в школе, в том числе путем создания комфортных условий проживания и работы для привлекаемых специалистов; 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0232DD" w:rsidP="00C7493E">
            <w:pPr>
              <w:pStyle w:val="Default"/>
              <w:jc w:val="both"/>
            </w:pPr>
            <w:r>
              <w:t xml:space="preserve">командный стиль работы педагогического коллектива; </w:t>
            </w:r>
            <w:r>
              <w:sym w:font="Symbol" w:char="F02D"/>
            </w:r>
            <w:r>
              <w:t xml:space="preserve"> использование эффективных практик совместной работы учителей (посещение уроков, анализ проблем на методических объединениях, наставничество и др.)</w:t>
            </w: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32DD" w:rsidRDefault="000232DD" w:rsidP="00C7493E">
            <w:pPr>
              <w:pStyle w:val="Default"/>
              <w:jc w:val="both"/>
            </w:pPr>
            <w:proofErr w:type="gramStart"/>
            <w:r>
              <w:t>специальные образовательные условия</w:t>
            </w:r>
            <w:r>
              <w:t xml:space="preserve">, которые должны быть созданы с учетом образовательных потребностей обучающегося. </w:t>
            </w:r>
            <w:proofErr w:type="gramEnd"/>
          </w:p>
          <w:p w:rsidR="006273F1" w:rsidRPr="006273F1" w:rsidRDefault="000232DD" w:rsidP="00C7493E">
            <w:pPr>
              <w:pStyle w:val="Default"/>
              <w:jc w:val="both"/>
            </w:pPr>
            <w:r>
              <w:t>Методические рекомендации по сопровождению детей с ограниченны</w:t>
            </w:r>
            <w:r>
              <w:t>ми возможностями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12A7C" w:rsidRDefault="00612A7C" w:rsidP="00C7493E">
            <w:pPr>
              <w:pStyle w:val="Default"/>
              <w:jc w:val="both"/>
            </w:pPr>
            <w:r>
              <w:t>организацию консультативной помощи учителям, стремящимся перестроить свою</w:t>
            </w:r>
            <w:r>
              <w:t xml:space="preserve"> работу с учениками</w:t>
            </w:r>
            <w:proofErr w:type="gramStart"/>
            <w:r>
              <w:t xml:space="preserve"> </w:t>
            </w:r>
            <w:r>
              <w:t>;</w:t>
            </w:r>
            <w:proofErr w:type="gramEnd"/>
            <w:r>
              <w:t xml:space="preserve"> </w:t>
            </w:r>
          </w:p>
          <w:p w:rsidR="00612A7C" w:rsidRDefault="00612A7C" w:rsidP="00C7493E">
            <w:pPr>
              <w:pStyle w:val="Default"/>
              <w:jc w:val="both"/>
            </w:pPr>
            <w:r>
              <w:t xml:space="preserve">организацию индивидуальной помощи обучающимся в преодолении учебных трудностей, </w:t>
            </w:r>
            <w:proofErr w:type="gramStart"/>
            <w:r>
              <w:t>направленную</w:t>
            </w:r>
            <w:proofErr w:type="gramEnd"/>
            <w:r>
              <w:t xml:space="preserve"> в том числе на повышение учебной мотивации; </w:t>
            </w:r>
          </w:p>
          <w:p w:rsidR="006273F1" w:rsidRPr="006273F1" w:rsidRDefault="00612A7C" w:rsidP="00C7493E">
            <w:pPr>
              <w:pStyle w:val="Default"/>
              <w:jc w:val="both"/>
            </w:pPr>
            <w:r>
              <w:t>исследование семейного аспекта снижения учебной мотивации и вовлечение родителей в образовательный процесс.</w:t>
            </w: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0232DD" w:rsidP="00C7493E">
            <w:pPr>
              <w:pStyle w:val="Default"/>
              <w:jc w:val="both"/>
            </w:pPr>
            <w:r>
              <w:t>анализ выгорания педагогов</w:t>
            </w: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612A7C" w:rsidP="00C7493E">
            <w:pPr>
              <w:pStyle w:val="Default"/>
              <w:tabs>
                <w:tab w:val="left" w:pos="1095"/>
              </w:tabs>
              <w:jc w:val="both"/>
            </w:pPr>
            <w:r>
              <w:t>Школьная служба примирения</w:t>
            </w:r>
          </w:p>
          <w:p w:rsidR="00612A7C" w:rsidRDefault="00612A7C" w:rsidP="00612A7C">
            <w:pPr>
              <w:pStyle w:val="Default"/>
              <w:tabs>
                <w:tab w:val="left" w:pos="1095"/>
              </w:tabs>
              <w:jc w:val="both"/>
            </w:pPr>
            <w:r>
              <w:t>В работе психологов и других специалистов в об</w:t>
            </w:r>
            <w:r>
              <w:t xml:space="preserve">разовательных организациях </w:t>
            </w:r>
            <w:r>
              <w:t xml:space="preserve"> уделять внимание специфике профилактической деятельности в контексте </w:t>
            </w:r>
            <w:r>
              <w:lastRenderedPageBreak/>
              <w:t xml:space="preserve">трудных жизненных ситуаций с участием несовершеннолетних с проблемным поведением, </w:t>
            </w:r>
          </w:p>
          <w:p w:rsidR="00612A7C" w:rsidRPr="006273F1" w:rsidRDefault="00612A7C" w:rsidP="00612A7C">
            <w:pPr>
              <w:pStyle w:val="Default"/>
              <w:tabs>
                <w:tab w:val="left" w:pos="1095"/>
              </w:tabs>
              <w:jc w:val="both"/>
            </w:pPr>
            <w:r>
              <w:t xml:space="preserve">знать основные этапы </w:t>
            </w:r>
            <w:proofErr w:type="spellStart"/>
            <w:r>
              <w:t>психопрофилактики</w:t>
            </w:r>
            <w:proofErr w:type="spellEnd"/>
            <w:r>
              <w:t xml:space="preserve">, основные принципы межведомственного взаимодействия, а также методы и </w:t>
            </w:r>
            <w:proofErr w:type="gramStart"/>
            <w:r>
              <w:t>т</w:t>
            </w:r>
            <w:proofErr w:type="gramEnd"/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lastRenderedPageBreak/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0232DD" w:rsidP="00C7493E">
            <w:pPr>
              <w:pStyle w:val="Default"/>
              <w:jc w:val="both"/>
            </w:pPr>
            <w:r>
              <w:t>диагнос</w:t>
            </w:r>
            <w:r w:rsidR="003113E1">
              <w:t xml:space="preserve">тика </w:t>
            </w:r>
            <w:proofErr w:type="gramStart"/>
            <w:r w:rsidR="003113E1">
              <w:t>обучающихся</w:t>
            </w:r>
            <w:proofErr w:type="gramEnd"/>
          </w:p>
          <w:p w:rsidR="000232DD" w:rsidRPr="006273F1" w:rsidRDefault="000232DD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0232DD" w:rsidP="00C7493E">
            <w:pPr>
              <w:pStyle w:val="Default"/>
              <w:jc w:val="both"/>
            </w:pPr>
            <w:r>
              <w:t>совместные мероприятия</w:t>
            </w:r>
          </w:p>
          <w:p w:rsidR="000232DD" w:rsidRPr="006273F1" w:rsidRDefault="000232DD" w:rsidP="00C7493E">
            <w:pPr>
              <w:pStyle w:val="Default"/>
              <w:jc w:val="both"/>
            </w:pPr>
            <w:r>
              <w:t>День открытых дверей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00B89"/>
    <w:rsid w:val="0002276D"/>
    <w:rsid w:val="000232DD"/>
    <w:rsid w:val="002376AB"/>
    <w:rsid w:val="003113E1"/>
    <w:rsid w:val="0032453E"/>
    <w:rsid w:val="003420DB"/>
    <w:rsid w:val="0035136E"/>
    <w:rsid w:val="0037218F"/>
    <w:rsid w:val="00400933"/>
    <w:rsid w:val="00492464"/>
    <w:rsid w:val="004A0FB6"/>
    <w:rsid w:val="00612A7C"/>
    <w:rsid w:val="006273F1"/>
    <w:rsid w:val="0067607B"/>
    <w:rsid w:val="00A64EDD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Пользователь Windows</cp:lastModifiedBy>
  <cp:revision>4</cp:revision>
  <dcterms:created xsi:type="dcterms:W3CDTF">2021-04-08T05:23:00Z</dcterms:created>
  <dcterms:modified xsi:type="dcterms:W3CDTF">2021-04-08T08:29:00Z</dcterms:modified>
</cp:coreProperties>
</file>